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康建甫</w:t>
      </w:r>
      <w:r>
        <w:rPr>
          <w:rFonts w:hint="eastAsia"/>
          <w:sz w:val="15"/>
          <w:szCs w:val="15"/>
          <w:highlight w:val="none"/>
        </w:rPr>
        <w:t>，</w:t>
      </w:r>
      <w:r>
        <w:rPr>
          <w:rFonts w:hint="eastAsia"/>
          <w:sz w:val="15"/>
          <w:szCs w:val="15"/>
          <w:highlight w:val="none"/>
          <w:lang w:val="en-US" w:eastAsia="zh-CN"/>
        </w:rPr>
        <w:t>13013119830623421X</w:t>
      </w:r>
      <w:r>
        <w:rPr>
          <w:rFonts w:hint="eastAsia"/>
          <w:sz w:val="15"/>
          <w:szCs w:val="15"/>
        </w:rPr>
        <w:t xml:space="preserve">  </w:t>
      </w:r>
      <w:r>
        <w:rPr>
          <w:rFonts w:hint="eastAsia"/>
          <w:sz w:val="15"/>
          <w:szCs w:val="15"/>
          <w:lang w:val="en-US" w:eastAsia="zh-CN"/>
        </w:rPr>
        <w:t>沪A59890D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