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康杰琼</w:t>
      </w:r>
      <w:r>
        <w:rPr>
          <w:rFonts w:hint="eastAsia"/>
          <w:sz w:val="15"/>
          <w:szCs w:val="15"/>
          <w:highlight w:val="none"/>
        </w:rPr>
        <w:t>，</w:t>
      </w:r>
      <w:r>
        <w:rPr>
          <w:rFonts w:hint="eastAsia"/>
          <w:sz w:val="15"/>
          <w:szCs w:val="15"/>
          <w:highlight w:val="none"/>
          <w:lang w:val="en-US" w:eastAsia="zh-CN"/>
        </w:rPr>
        <w:t>130126199110142720</w:t>
      </w:r>
      <w:r>
        <w:rPr>
          <w:rFonts w:hint="eastAsia"/>
          <w:sz w:val="15"/>
          <w:szCs w:val="15"/>
        </w:rPr>
        <w:t xml:space="preserve">  </w:t>
      </w:r>
      <w:r>
        <w:rPr>
          <w:rFonts w:hint="eastAsia"/>
          <w:sz w:val="15"/>
          <w:szCs w:val="15"/>
          <w:lang w:val="en-US" w:eastAsia="zh-CN"/>
        </w:rPr>
        <w:t>沪A01205A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