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冯智</w:t>
      </w:r>
      <w:r>
        <w:rPr>
          <w:rFonts w:hint="eastAsia"/>
          <w:sz w:val="15"/>
          <w:szCs w:val="15"/>
          <w:highlight w:val="none"/>
        </w:rPr>
        <w:t>，</w:t>
      </w:r>
      <w:r>
        <w:rPr>
          <w:rFonts w:hint="eastAsia"/>
          <w:sz w:val="15"/>
          <w:szCs w:val="15"/>
          <w:highlight w:val="none"/>
          <w:lang w:val="en-US" w:eastAsia="zh-CN"/>
        </w:rPr>
        <w:t>130126198905240610</w:t>
      </w:r>
      <w:r>
        <w:rPr>
          <w:rFonts w:hint="eastAsia"/>
          <w:sz w:val="15"/>
          <w:szCs w:val="15"/>
        </w:rPr>
        <w:t xml:space="preserve">  </w:t>
      </w:r>
      <w:r>
        <w:rPr>
          <w:rFonts w:hint="eastAsia"/>
          <w:sz w:val="15"/>
          <w:szCs w:val="15"/>
          <w:lang w:val="en-US" w:eastAsia="zh-CN"/>
        </w:rPr>
        <w:t>冀A1922V</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