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司艳梅</w:t>
      </w:r>
      <w:r>
        <w:rPr>
          <w:rFonts w:hint="eastAsia"/>
          <w:sz w:val="15"/>
          <w:szCs w:val="15"/>
          <w:highlight w:val="none"/>
        </w:rPr>
        <w:t>，</w:t>
      </w:r>
      <w:r>
        <w:rPr>
          <w:rFonts w:hint="eastAsia"/>
          <w:sz w:val="15"/>
          <w:szCs w:val="15"/>
          <w:highlight w:val="none"/>
          <w:lang w:val="en-US" w:eastAsia="zh-CN"/>
        </w:rPr>
        <w:t>130126198606153322</w:t>
      </w:r>
      <w:r>
        <w:rPr>
          <w:rFonts w:hint="eastAsia"/>
          <w:sz w:val="15"/>
          <w:szCs w:val="15"/>
        </w:rPr>
        <w:t xml:space="preserve">  </w:t>
      </w:r>
      <w:r>
        <w:rPr>
          <w:rFonts w:hint="eastAsia"/>
          <w:sz w:val="15"/>
          <w:szCs w:val="15"/>
          <w:lang w:val="en-US" w:eastAsia="zh-CN"/>
        </w:rPr>
        <w:t>冀A350Y8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