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王蕊</w:t>
      </w:r>
      <w:r>
        <w:rPr>
          <w:rFonts w:hint="eastAsia"/>
          <w:sz w:val="15"/>
          <w:szCs w:val="15"/>
          <w:highlight w:val="none"/>
        </w:rPr>
        <w:t>，</w:t>
      </w:r>
      <w:r>
        <w:rPr>
          <w:rFonts w:hint="eastAsia"/>
          <w:sz w:val="15"/>
          <w:szCs w:val="15"/>
          <w:highlight w:val="none"/>
          <w:lang w:val="en-US" w:eastAsia="zh-CN"/>
        </w:rPr>
        <w:t>130123198301224522</w:t>
      </w:r>
      <w:r>
        <w:rPr>
          <w:rFonts w:hint="eastAsia"/>
          <w:sz w:val="15"/>
          <w:szCs w:val="15"/>
        </w:rPr>
        <w:t xml:space="preserve">  </w:t>
      </w:r>
      <w:r>
        <w:rPr>
          <w:rFonts w:hint="eastAsia"/>
          <w:sz w:val="15"/>
          <w:szCs w:val="15"/>
          <w:lang w:val="en-US" w:eastAsia="zh-CN"/>
        </w:rPr>
        <w:t>冀A324YW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