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丁静</w:t>
      </w:r>
      <w:r>
        <w:rPr>
          <w:rFonts w:hint="eastAsia"/>
          <w:sz w:val="15"/>
          <w:szCs w:val="15"/>
          <w:highlight w:val="none"/>
        </w:rPr>
        <w:t>，</w:t>
      </w:r>
      <w:r>
        <w:rPr>
          <w:rFonts w:hint="eastAsia"/>
          <w:sz w:val="15"/>
          <w:szCs w:val="15"/>
          <w:highlight w:val="none"/>
          <w:lang w:val="en-US" w:eastAsia="zh-CN"/>
        </w:rPr>
        <w:t>130123198206104581</w:t>
      </w:r>
      <w:r>
        <w:rPr>
          <w:rFonts w:hint="eastAsia"/>
          <w:sz w:val="15"/>
          <w:szCs w:val="15"/>
        </w:rPr>
        <w:t xml:space="preserve">  </w:t>
      </w:r>
      <w:r>
        <w:rPr>
          <w:rFonts w:hint="eastAsia"/>
          <w:sz w:val="15"/>
          <w:szCs w:val="15"/>
          <w:lang w:val="en-US" w:eastAsia="zh-CN"/>
        </w:rPr>
        <w:t>沪A70173D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