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贾军立</w:t>
      </w:r>
      <w:r>
        <w:rPr>
          <w:rFonts w:hint="eastAsia"/>
          <w:sz w:val="15"/>
          <w:szCs w:val="15"/>
          <w:highlight w:val="none"/>
        </w:rPr>
        <w:t>，</w:t>
      </w:r>
      <w:r>
        <w:rPr>
          <w:rFonts w:hint="eastAsia"/>
          <w:sz w:val="15"/>
          <w:szCs w:val="15"/>
          <w:highlight w:val="none"/>
          <w:lang w:val="en-US" w:eastAsia="zh-CN"/>
        </w:rPr>
        <w:t>130123197908043619</w:t>
      </w:r>
      <w:r>
        <w:rPr>
          <w:rFonts w:hint="eastAsia"/>
          <w:sz w:val="15"/>
          <w:szCs w:val="15"/>
        </w:rPr>
        <w:t xml:space="preserve">  </w:t>
      </w:r>
      <w:r>
        <w:rPr>
          <w:rFonts w:hint="eastAsia"/>
          <w:sz w:val="15"/>
          <w:szCs w:val="15"/>
          <w:lang w:val="en-US" w:eastAsia="zh-CN"/>
        </w:rPr>
        <w:t>冀ATH555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