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郝晓楠</w:t>
      </w:r>
      <w:r>
        <w:rPr>
          <w:rFonts w:hint="eastAsia"/>
          <w:sz w:val="15"/>
          <w:szCs w:val="15"/>
          <w:highlight w:val="none"/>
        </w:rPr>
        <w:t>，</w:t>
      </w:r>
      <w:r>
        <w:rPr>
          <w:rFonts w:hint="eastAsia"/>
          <w:sz w:val="15"/>
          <w:szCs w:val="15"/>
          <w:highlight w:val="none"/>
          <w:lang w:val="en-US" w:eastAsia="zh-CN"/>
        </w:rPr>
        <w:t>21088219880806241X</w:t>
      </w:r>
      <w:r>
        <w:rPr>
          <w:rFonts w:hint="eastAsia"/>
          <w:sz w:val="15"/>
          <w:szCs w:val="15"/>
        </w:rPr>
        <w:t xml:space="preserve">  </w:t>
      </w:r>
      <w:r>
        <w:rPr>
          <w:rFonts w:hint="eastAsia"/>
          <w:sz w:val="15"/>
          <w:szCs w:val="15"/>
          <w:lang w:val="en-US" w:eastAsia="zh-CN"/>
        </w:rPr>
        <w:t>冀A02326D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