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新敏</w:t>
      </w:r>
      <w:r>
        <w:rPr>
          <w:rFonts w:hint="eastAsia"/>
          <w:sz w:val="15"/>
          <w:szCs w:val="15"/>
          <w:highlight w:val="none"/>
        </w:rPr>
        <w:t>，</w:t>
      </w:r>
      <w:r>
        <w:rPr>
          <w:rFonts w:hint="eastAsia"/>
          <w:sz w:val="15"/>
          <w:szCs w:val="15"/>
          <w:highlight w:val="none"/>
          <w:lang w:val="en-US" w:eastAsia="zh-CN"/>
        </w:rPr>
        <w:t>132336197910220826</w:t>
      </w:r>
      <w:r>
        <w:rPr>
          <w:rFonts w:hint="eastAsia"/>
          <w:sz w:val="15"/>
          <w:szCs w:val="15"/>
        </w:rPr>
        <w:t xml:space="preserve">  </w:t>
      </w:r>
      <w:r>
        <w:rPr>
          <w:rFonts w:hint="eastAsia"/>
          <w:sz w:val="15"/>
          <w:szCs w:val="15"/>
          <w:lang w:val="en-US" w:eastAsia="zh-CN"/>
        </w:rPr>
        <w:t>冀A514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