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尹新艳</w:t>
      </w:r>
      <w:r>
        <w:rPr>
          <w:rFonts w:hint="eastAsia"/>
          <w:sz w:val="15"/>
          <w:szCs w:val="15"/>
          <w:highlight w:val="none"/>
        </w:rPr>
        <w:t>，</w:t>
      </w:r>
      <w:r>
        <w:rPr>
          <w:rFonts w:hint="eastAsia"/>
          <w:sz w:val="15"/>
          <w:szCs w:val="15"/>
          <w:highlight w:val="none"/>
          <w:lang w:val="en-US" w:eastAsia="zh-CN"/>
        </w:rPr>
        <w:t>132336197903010724</w:t>
      </w:r>
      <w:r>
        <w:rPr>
          <w:rFonts w:hint="eastAsia"/>
          <w:sz w:val="15"/>
          <w:szCs w:val="15"/>
        </w:rPr>
        <w:t xml:space="preserve">  </w:t>
      </w:r>
      <w:r>
        <w:rPr>
          <w:rFonts w:hint="eastAsia"/>
          <w:sz w:val="15"/>
          <w:szCs w:val="15"/>
          <w:lang w:val="en-US" w:eastAsia="zh-CN"/>
        </w:rPr>
        <w:t>冀A141AA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