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赵礼平</w:t>
      </w:r>
      <w:r>
        <w:rPr>
          <w:rFonts w:hint="eastAsia"/>
          <w:sz w:val="15"/>
          <w:szCs w:val="15"/>
          <w:highlight w:val="none"/>
        </w:rPr>
        <w:t>，</w:t>
      </w:r>
      <w:r>
        <w:rPr>
          <w:rFonts w:hint="eastAsia"/>
          <w:sz w:val="15"/>
          <w:szCs w:val="15"/>
          <w:highlight w:val="none"/>
          <w:lang w:val="en-US" w:eastAsia="zh-CN"/>
        </w:rPr>
        <w:t>132336197902010618</w:t>
      </w:r>
      <w:r>
        <w:rPr>
          <w:rFonts w:hint="eastAsia"/>
          <w:sz w:val="15"/>
          <w:szCs w:val="15"/>
        </w:rPr>
        <w:t xml:space="preserve">  </w:t>
      </w:r>
      <w:r>
        <w:rPr>
          <w:rFonts w:hint="eastAsia"/>
          <w:sz w:val="15"/>
          <w:szCs w:val="15"/>
          <w:lang w:val="en-US" w:eastAsia="zh-CN"/>
        </w:rPr>
        <w:t>冀A63246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