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王志军</w:t>
      </w:r>
      <w:r>
        <w:rPr>
          <w:rFonts w:hint="eastAsia"/>
          <w:sz w:val="15"/>
          <w:szCs w:val="15"/>
          <w:highlight w:val="none"/>
        </w:rPr>
        <w:t>，</w:t>
      </w:r>
      <w:r>
        <w:rPr>
          <w:rFonts w:hint="eastAsia"/>
          <w:sz w:val="15"/>
          <w:szCs w:val="15"/>
          <w:highlight w:val="none"/>
          <w:lang w:val="en-US" w:eastAsia="zh-CN"/>
        </w:rPr>
        <w:t>132335198112020457</w:t>
      </w:r>
      <w:r>
        <w:rPr>
          <w:rFonts w:hint="eastAsia"/>
          <w:sz w:val="15"/>
          <w:szCs w:val="15"/>
        </w:rPr>
        <w:t xml:space="preserve">  </w:t>
      </w:r>
      <w:r>
        <w:rPr>
          <w:rFonts w:hint="eastAsia"/>
          <w:sz w:val="15"/>
          <w:szCs w:val="15"/>
          <w:lang w:val="en-US" w:eastAsia="zh-CN"/>
        </w:rPr>
        <w:t>冀A32156D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