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焦艳利</w:t>
      </w:r>
      <w:r>
        <w:rPr>
          <w:rFonts w:hint="eastAsia"/>
          <w:sz w:val="15"/>
          <w:szCs w:val="15"/>
          <w:highlight w:val="none"/>
        </w:rPr>
        <w:t>，</w:t>
      </w:r>
      <w:r>
        <w:rPr>
          <w:rFonts w:hint="eastAsia"/>
          <w:sz w:val="15"/>
          <w:szCs w:val="15"/>
          <w:highlight w:val="none"/>
          <w:lang w:val="en-US" w:eastAsia="zh-CN"/>
        </w:rPr>
        <w:t>13233519811128088X</w:t>
      </w:r>
      <w:r>
        <w:rPr>
          <w:rFonts w:hint="eastAsia"/>
          <w:sz w:val="15"/>
          <w:szCs w:val="15"/>
        </w:rPr>
        <w:t xml:space="preserve">  </w:t>
      </w:r>
      <w:r>
        <w:rPr>
          <w:rFonts w:hint="eastAsia"/>
          <w:sz w:val="15"/>
          <w:szCs w:val="15"/>
          <w:lang w:val="en-US" w:eastAsia="zh-CN"/>
        </w:rPr>
        <w:t>沪A27955A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