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谷进波</w:t>
      </w:r>
      <w:r>
        <w:rPr>
          <w:rFonts w:hint="eastAsia"/>
          <w:sz w:val="15"/>
          <w:szCs w:val="15"/>
          <w:highlight w:val="none"/>
        </w:rPr>
        <w:t>，</w:t>
      </w:r>
      <w:r>
        <w:rPr>
          <w:rFonts w:hint="eastAsia"/>
          <w:sz w:val="15"/>
          <w:szCs w:val="15"/>
          <w:highlight w:val="none"/>
          <w:lang w:val="en-US" w:eastAsia="zh-CN"/>
        </w:rPr>
        <w:t>13233519810509161X</w:t>
      </w:r>
      <w:r>
        <w:rPr>
          <w:rFonts w:hint="eastAsia"/>
          <w:sz w:val="15"/>
          <w:szCs w:val="15"/>
        </w:rPr>
        <w:t xml:space="preserve">  </w:t>
      </w:r>
      <w:r>
        <w:rPr>
          <w:rFonts w:hint="eastAsia"/>
          <w:sz w:val="15"/>
          <w:szCs w:val="15"/>
          <w:lang w:val="en-US" w:eastAsia="zh-CN"/>
        </w:rPr>
        <w:t>冀A941AH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