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3532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赵国伟</w:t>
      </w:r>
      <w:r>
        <w:rPr>
          <w:rFonts w:hint="eastAsia"/>
          <w:sz w:val="15"/>
          <w:szCs w:val="15"/>
          <w:highlight w:val="none"/>
        </w:rPr>
        <w:t>，</w:t>
      </w:r>
      <w:r>
        <w:rPr>
          <w:rFonts w:hint="eastAsia"/>
          <w:sz w:val="15"/>
          <w:szCs w:val="15"/>
          <w:highlight w:val="none"/>
          <w:lang w:val="en-US" w:eastAsia="zh-CN"/>
        </w:rPr>
        <w:t>132335198103270411</w:t>
      </w:r>
      <w:r>
        <w:rPr>
          <w:rFonts w:hint="eastAsia"/>
          <w:sz w:val="15"/>
          <w:szCs w:val="15"/>
        </w:rPr>
        <w:t xml:space="preserve">  </w:t>
      </w:r>
      <w:r>
        <w:rPr>
          <w:rFonts w:hint="eastAsia"/>
          <w:sz w:val="15"/>
          <w:szCs w:val="15"/>
          <w:lang w:val="en-US" w:eastAsia="zh-CN"/>
        </w:rPr>
        <w:t>冀A952AA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