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邢志肖</w:t>
      </w:r>
      <w:r>
        <w:rPr>
          <w:rFonts w:hint="eastAsia"/>
          <w:sz w:val="15"/>
          <w:szCs w:val="15"/>
          <w:highlight w:val="none"/>
        </w:rPr>
        <w:t>，</w:t>
      </w:r>
      <w:r>
        <w:rPr>
          <w:rFonts w:hint="eastAsia"/>
          <w:sz w:val="15"/>
          <w:szCs w:val="15"/>
          <w:highlight w:val="none"/>
          <w:lang w:val="en-US" w:eastAsia="zh-CN"/>
        </w:rPr>
        <w:t>132335197212160268</w:t>
      </w:r>
      <w:r>
        <w:rPr>
          <w:rFonts w:hint="eastAsia"/>
          <w:sz w:val="15"/>
          <w:szCs w:val="15"/>
        </w:rPr>
        <w:t xml:space="preserve">  </w:t>
      </w:r>
      <w:r>
        <w:rPr>
          <w:rFonts w:hint="eastAsia"/>
          <w:sz w:val="15"/>
          <w:szCs w:val="15"/>
          <w:lang w:val="en-US" w:eastAsia="zh-CN"/>
        </w:rPr>
        <w:t>冀A7448U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