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长存</w:t>
      </w:r>
      <w:r>
        <w:rPr>
          <w:rFonts w:hint="eastAsia"/>
          <w:sz w:val="15"/>
          <w:szCs w:val="15"/>
          <w:highlight w:val="none"/>
        </w:rPr>
        <w:t>，</w:t>
      </w:r>
      <w:r>
        <w:rPr>
          <w:rFonts w:hint="eastAsia"/>
          <w:sz w:val="15"/>
          <w:szCs w:val="15"/>
          <w:highlight w:val="none"/>
          <w:lang w:val="en-US" w:eastAsia="zh-CN"/>
        </w:rPr>
        <w:t>13112819781016241X</w:t>
      </w:r>
      <w:r>
        <w:rPr>
          <w:rFonts w:hint="eastAsia"/>
          <w:sz w:val="15"/>
          <w:szCs w:val="15"/>
        </w:rPr>
        <w:t xml:space="preserve">  </w:t>
      </w:r>
      <w:r>
        <w:rPr>
          <w:rFonts w:hint="eastAsia"/>
          <w:sz w:val="15"/>
          <w:szCs w:val="15"/>
          <w:lang w:val="en-US" w:eastAsia="zh-CN"/>
        </w:rPr>
        <w:t>冀T773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