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3834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齐永生</w:t>
      </w:r>
      <w:r>
        <w:rPr>
          <w:rFonts w:hint="eastAsia"/>
          <w:sz w:val="15"/>
          <w:szCs w:val="15"/>
          <w:highlight w:val="none"/>
        </w:rPr>
        <w:t>，</w:t>
      </w:r>
      <w:r>
        <w:rPr>
          <w:rFonts w:hint="eastAsia"/>
          <w:sz w:val="15"/>
          <w:szCs w:val="15"/>
          <w:highlight w:val="none"/>
          <w:lang w:val="en-US" w:eastAsia="zh-CN"/>
        </w:rPr>
        <w:t>130185198410242518</w:t>
      </w:r>
      <w:r>
        <w:rPr>
          <w:rFonts w:hint="eastAsia"/>
          <w:sz w:val="15"/>
          <w:szCs w:val="15"/>
        </w:rPr>
        <w:t xml:space="preserve">  </w:t>
      </w:r>
      <w:r>
        <w:rPr>
          <w:rFonts w:hint="eastAsia"/>
          <w:sz w:val="15"/>
          <w:szCs w:val="15"/>
          <w:lang w:val="en-US" w:eastAsia="zh-CN"/>
        </w:rPr>
        <w:t>冀A6181D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