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4158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张门门</w:t>
      </w:r>
      <w:r>
        <w:rPr>
          <w:rFonts w:hint="eastAsia"/>
          <w:sz w:val="15"/>
          <w:szCs w:val="15"/>
          <w:highlight w:val="none"/>
        </w:rPr>
        <w:t>，</w:t>
      </w:r>
      <w:r>
        <w:rPr>
          <w:rFonts w:hint="eastAsia"/>
          <w:sz w:val="15"/>
          <w:szCs w:val="15"/>
          <w:highlight w:val="none"/>
          <w:lang w:val="en-US" w:eastAsia="zh-CN"/>
        </w:rPr>
        <w:t>130131199405024220</w:t>
      </w:r>
      <w:r>
        <w:rPr>
          <w:rFonts w:hint="eastAsia"/>
          <w:sz w:val="15"/>
          <w:szCs w:val="15"/>
        </w:rPr>
        <w:t xml:space="preserve">  </w:t>
      </w:r>
      <w:r>
        <w:rPr>
          <w:rFonts w:hint="eastAsia"/>
          <w:sz w:val="15"/>
          <w:szCs w:val="15"/>
          <w:lang w:val="en-US" w:eastAsia="zh-CN"/>
        </w:rPr>
        <w:t>沪A22025A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