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马晓伟</w:t>
      </w:r>
      <w:r>
        <w:rPr>
          <w:rFonts w:hint="eastAsia"/>
          <w:sz w:val="15"/>
          <w:szCs w:val="15"/>
          <w:highlight w:val="none"/>
        </w:rPr>
        <w:t>，</w:t>
      </w:r>
      <w:r>
        <w:rPr>
          <w:rFonts w:hint="eastAsia"/>
          <w:sz w:val="15"/>
          <w:szCs w:val="15"/>
          <w:highlight w:val="none"/>
          <w:lang w:val="en-US" w:eastAsia="zh-CN"/>
        </w:rPr>
        <w:t>130131198912050613</w:t>
      </w:r>
      <w:r>
        <w:rPr>
          <w:rFonts w:hint="eastAsia"/>
          <w:sz w:val="15"/>
          <w:szCs w:val="15"/>
        </w:rPr>
        <w:t xml:space="preserve">  </w:t>
      </w:r>
      <w:r>
        <w:rPr>
          <w:rFonts w:hint="eastAsia"/>
          <w:sz w:val="15"/>
          <w:szCs w:val="15"/>
          <w:lang w:val="en-US" w:eastAsia="zh-CN"/>
        </w:rPr>
        <w:t>冀A38608D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