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曹志越</w:t>
      </w:r>
      <w:r>
        <w:rPr>
          <w:rFonts w:hint="eastAsia"/>
          <w:sz w:val="15"/>
          <w:szCs w:val="15"/>
          <w:highlight w:val="none"/>
        </w:rPr>
        <w:t>，</w:t>
      </w:r>
      <w:r>
        <w:rPr>
          <w:rFonts w:hint="eastAsia"/>
          <w:sz w:val="15"/>
          <w:szCs w:val="15"/>
          <w:highlight w:val="none"/>
          <w:lang w:val="en-US" w:eastAsia="zh-CN"/>
        </w:rPr>
        <w:t>130131198909053637</w:t>
      </w:r>
      <w:r>
        <w:rPr>
          <w:rFonts w:hint="eastAsia"/>
          <w:sz w:val="15"/>
          <w:szCs w:val="15"/>
        </w:rPr>
        <w:t xml:space="preserve">  </w:t>
      </w:r>
      <w:r>
        <w:rPr>
          <w:rFonts w:hint="eastAsia"/>
          <w:sz w:val="15"/>
          <w:szCs w:val="15"/>
          <w:lang w:val="en-US" w:eastAsia="zh-CN"/>
        </w:rPr>
        <w:t>沪A52887D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