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张春雷</w:t>
      </w:r>
      <w:r>
        <w:rPr>
          <w:rFonts w:hint="eastAsia"/>
          <w:sz w:val="15"/>
          <w:szCs w:val="15"/>
          <w:highlight w:val="none"/>
        </w:rPr>
        <w:t>，</w:t>
      </w:r>
      <w:r>
        <w:rPr>
          <w:rFonts w:hint="eastAsia"/>
          <w:sz w:val="15"/>
          <w:szCs w:val="15"/>
          <w:highlight w:val="none"/>
          <w:lang w:val="en-US" w:eastAsia="zh-CN"/>
        </w:rPr>
        <w:t>130131198904304230</w:t>
      </w:r>
      <w:r>
        <w:rPr>
          <w:rFonts w:hint="eastAsia"/>
          <w:sz w:val="15"/>
          <w:szCs w:val="15"/>
        </w:rPr>
        <w:t xml:space="preserve">  </w:t>
      </w:r>
      <w:r>
        <w:rPr>
          <w:rFonts w:hint="eastAsia"/>
          <w:sz w:val="15"/>
          <w:szCs w:val="15"/>
          <w:lang w:val="en-US" w:eastAsia="zh-CN"/>
        </w:rPr>
        <w:t>沪A96837D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