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赵立伟</w:t>
      </w:r>
      <w:r>
        <w:rPr>
          <w:rFonts w:hint="eastAsia"/>
          <w:sz w:val="15"/>
          <w:szCs w:val="15"/>
          <w:highlight w:val="none"/>
        </w:rPr>
        <w:t>，</w:t>
      </w:r>
      <w:r>
        <w:rPr>
          <w:rFonts w:hint="eastAsia"/>
          <w:sz w:val="15"/>
          <w:szCs w:val="15"/>
          <w:highlight w:val="none"/>
          <w:lang w:val="en-US" w:eastAsia="zh-CN"/>
        </w:rPr>
        <w:t>130131198801244511</w:t>
      </w:r>
      <w:r>
        <w:rPr>
          <w:rFonts w:hint="eastAsia"/>
          <w:sz w:val="15"/>
          <w:szCs w:val="15"/>
        </w:rPr>
        <w:t xml:space="preserve">  </w:t>
      </w:r>
      <w:r>
        <w:rPr>
          <w:rFonts w:hint="eastAsia"/>
          <w:sz w:val="15"/>
          <w:szCs w:val="15"/>
          <w:lang w:val="en-US" w:eastAsia="zh-CN"/>
        </w:rPr>
        <w:t>冀A9433H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