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梁燕果</w:t>
      </w:r>
      <w:r>
        <w:rPr>
          <w:rFonts w:hint="eastAsia"/>
          <w:sz w:val="15"/>
          <w:szCs w:val="15"/>
          <w:highlight w:val="none"/>
        </w:rPr>
        <w:t>，</w:t>
      </w:r>
      <w:r>
        <w:rPr>
          <w:rFonts w:hint="eastAsia"/>
          <w:sz w:val="15"/>
          <w:szCs w:val="15"/>
          <w:highlight w:val="none"/>
          <w:lang w:val="en-US" w:eastAsia="zh-CN"/>
        </w:rPr>
        <w:t>130131198708125729</w:t>
      </w:r>
      <w:r>
        <w:rPr>
          <w:rFonts w:hint="eastAsia"/>
          <w:sz w:val="15"/>
          <w:szCs w:val="15"/>
        </w:rPr>
        <w:t xml:space="preserve">  </w:t>
      </w:r>
      <w:r>
        <w:rPr>
          <w:rFonts w:hint="eastAsia"/>
          <w:sz w:val="15"/>
          <w:szCs w:val="15"/>
          <w:lang w:val="en-US" w:eastAsia="zh-CN"/>
        </w:rPr>
        <w:t>冀AG5420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