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任立三</w:t>
      </w:r>
      <w:r>
        <w:rPr>
          <w:rFonts w:hint="eastAsia"/>
          <w:sz w:val="15"/>
          <w:szCs w:val="15"/>
          <w:highlight w:val="none"/>
        </w:rPr>
        <w:t>，</w:t>
      </w:r>
      <w:r>
        <w:rPr>
          <w:rFonts w:hint="eastAsia"/>
          <w:sz w:val="15"/>
          <w:szCs w:val="15"/>
          <w:highlight w:val="none"/>
          <w:lang w:val="en-US" w:eastAsia="zh-CN"/>
        </w:rPr>
        <w:t>130131198701011219</w:t>
      </w:r>
      <w:r>
        <w:rPr>
          <w:rFonts w:hint="eastAsia"/>
          <w:sz w:val="15"/>
          <w:szCs w:val="15"/>
        </w:rPr>
        <w:t xml:space="preserve">  </w:t>
      </w:r>
      <w:r>
        <w:rPr>
          <w:rFonts w:hint="eastAsia"/>
          <w:sz w:val="15"/>
          <w:szCs w:val="15"/>
          <w:lang w:val="en-US" w:eastAsia="zh-CN"/>
        </w:rPr>
        <w:t>沪A86205D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