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范腾飞</w:t>
      </w:r>
      <w:r>
        <w:rPr>
          <w:rFonts w:hint="eastAsia"/>
          <w:sz w:val="15"/>
          <w:szCs w:val="15"/>
          <w:highlight w:val="none"/>
        </w:rPr>
        <w:t>，</w:t>
      </w:r>
      <w:r>
        <w:rPr>
          <w:rFonts w:hint="eastAsia"/>
          <w:sz w:val="15"/>
          <w:szCs w:val="15"/>
          <w:highlight w:val="none"/>
          <w:lang w:val="en-US" w:eastAsia="zh-CN"/>
        </w:rPr>
        <w:t>130131198605240054</w:t>
      </w:r>
      <w:r>
        <w:rPr>
          <w:rFonts w:hint="eastAsia"/>
          <w:sz w:val="15"/>
          <w:szCs w:val="15"/>
        </w:rPr>
        <w:t xml:space="preserve">  </w:t>
      </w:r>
      <w:r>
        <w:rPr>
          <w:rFonts w:hint="eastAsia"/>
          <w:sz w:val="15"/>
          <w:szCs w:val="15"/>
          <w:lang w:val="en-US" w:eastAsia="zh-CN"/>
        </w:rPr>
        <w:t>冀A34876D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