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李彦龙</w:t>
      </w:r>
      <w:r>
        <w:rPr>
          <w:rFonts w:hint="eastAsia"/>
          <w:sz w:val="15"/>
          <w:szCs w:val="15"/>
          <w:highlight w:val="none"/>
        </w:rPr>
        <w:t>，</w:t>
      </w:r>
      <w:r>
        <w:rPr>
          <w:rFonts w:hint="eastAsia"/>
          <w:sz w:val="15"/>
          <w:szCs w:val="15"/>
          <w:highlight w:val="none"/>
          <w:lang w:val="en-US" w:eastAsia="zh-CN"/>
        </w:rPr>
        <w:t>130131198504270617</w:t>
      </w:r>
      <w:r>
        <w:rPr>
          <w:rFonts w:hint="eastAsia"/>
          <w:sz w:val="15"/>
          <w:szCs w:val="15"/>
        </w:rPr>
        <w:t xml:space="preserve">  </w:t>
      </w:r>
      <w:r>
        <w:rPr>
          <w:rFonts w:hint="eastAsia"/>
          <w:sz w:val="15"/>
          <w:szCs w:val="15"/>
          <w:lang w:val="en-US" w:eastAsia="zh-CN"/>
        </w:rPr>
        <w:t>冀A44797D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