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武云见</w:t>
      </w:r>
      <w:r>
        <w:rPr>
          <w:rFonts w:hint="eastAsia"/>
          <w:sz w:val="15"/>
          <w:szCs w:val="15"/>
          <w:highlight w:val="none"/>
        </w:rPr>
        <w:t>，</w:t>
      </w:r>
      <w:r>
        <w:rPr>
          <w:rFonts w:hint="eastAsia"/>
          <w:sz w:val="15"/>
          <w:szCs w:val="15"/>
          <w:highlight w:val="none"/>
          <w:lang w:val="en-US" w:eastAsia="zh-CN"/>
        </w:rPr>
        <w:t>130131198405163912</w:t>
      </w:r>
      <w:r>
        <w:rPr>
          <w:rFonts w:hint="eastAsia"/>
          <w:sz w:val="15"/>
          <w:szCs w:val="15"/>
        </w:rPr>
        <w:t xml:space="preserve">  </w:t>
      </w:r>
      <w:r>
        <w:rPr>
          <w:rFonts w:hint="eastAsia"/>
          <w:sz w:val="15"/>
          <w:szCs w:val="15"/>
          <w:lang w:val="en-US" w:eastAsia="zh-CN"/>
        </w:rPr>
        <w:t>冀A44907D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