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秘钱明</w:t>
      </w:r>
      <w:r>
        <w:rPr>
          <w:rFonts w:hint="eastAsia"/>
          <w:sz w:val="15"/>
          <w:szCs w:val="15"/>
          <w:highlight w:val="none"/>
        </w:rPr>
        <w:t>，</w:t>
      </w:r>
      <w:r>
        <w:rPr>
          <w:rFonts w:hint="eastAsia"/>
          <w:sz w:val="15"/>
          <w:szCs w:val="15"/>
          <w:highlight w:val="none"/>
          <w:lang w:val="en-US" w:eastAsia="zh-CN"/>
        </w:rPr>
        <w:t>130131198306233911</w:t>
      </w:r>
      <w:r>
        <w:rPr>
          <w:rFonts w:hint="eastAsia"/>
          <w:sz w:val="15"/>
          <w:szCs w:val="15"/>
        </w:rPr>
        <w:t xml:space="preserve">  </w:t>
      </w:r>
      <w:r>
        <w:rPr>
          <w:rFonts w:hint="eastAsia"/>
          <w:sz w:val="15"/>
          <w:szCs w:val="15"/>
          <w:lang w:val="en-US" w:eastAsia="zh-CN"/>
        </w:rPr>
        <w:t>冀A31H59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