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盖红波</w:t>
      </w:r>
      <w:r>
        <w:rPr>
          <w:rFonts w:hint="eastAsia"/>
          <w:sz w:val="15"/>
          <w:szCs w:val="15"/>
          <w:highlight w:val="none"/>
        </w:rPr>
        <w:t>，</w:t>
      </w:r>
      <w:r>
        <w:rPr>
          <w:rFonts w:hint="eastAsia"/>
          <w:sz w:val="15"/>
          <w:szCs w:val="15"/>
          <w:highlight w:val="none"/>
          <w:lang w:val="en-US" w:eastAsia="zh-CN"/>
        </w:rPr>
        <w:t>130131198303123311</w:t>
      </w:r>
      <w:r>
        <w:rPr>
          <w:rFonts w:hint="eastAsia"/>
          <w:sz w:val="15"/>
          <w:szCs w:val="15"/>
        </w:rPr>
        <w:t xml:space="preserve">  </w:t>
      </w:r>
      <w:r>
        <w:rPr>
          <w:rFonts w:hint="eastAsia"/>
          <w:sz w:val="15"/>
          <w:szCs w:val="15"/>
          <w:lang w:val="en-US" w:eastAsia="zh-CN"/>
        </w:rPr>
        <w:t>冀A45K51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