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马文钢</w:t>
      </w:r>
      <w:r>
        <w:rPr>
          <w:rFonts w:hint="eastAsia"/>
          <w:sz w:val="15"/>
          <w:szCs w:val="15"/>
          <w:highlight w:val="none"/>
        </w:rPr>
        <w:t>，</w:t>
      </w:r>
      <w:r>
        <w:rPr>
          <w:rFonts w:hint="eastAsia"/>
          <w:sz w:val="15"/>
          <w:szCs w:val="15"/>
          <w:highlight w:val="none"/>
          <w:lang w:val="en-US" w:eastAsia="zh-CN"/>
        </w:rPr>
        <w:t>130131198211224238</w:t>
      </w:r>
      <w:r>
        <w:rPr>
          <w:rFonts w:hint="eastAsia"/>
          <w:sz w:val="15"/>
          <w:szCs w:val="15"/>
        </w:rPr>
        <w:t xml:space="preserve">  </w:t>
      </w:r>
      <w:r>
        <w:rPr>
          <w:rFonts w:hint="eastAsia"/>
          <w:sz w:val="15"/>
          <w:szCs w:val="15"/>
          <w:lang w:val="en-US" w:eastAsia="zh-CN"/>
        </w:rPr>
        <w:t>沪A09211A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