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任鹏波</w:t>
      </w:r>
      <w:r>
        <w:rPr>
          <w:rFonts w:hint="eastAsia"/>
          <w:sz w:val="15"/>
          <w:szCs w:val="15"/>
          <w:highlight w:val="none"/>
        </w:rPr>
        <w:t>，</w:t>
      </w:r>
      <w:r>
        <w:rPr>
          <w:rFonts w:hint="eastAsia"/>
          <w:sz w:val="15"/>
          <w:szCs w:val="15"/>
          <w:highlight w:val="none"/>
          <w:lang w:val="en-US" w:eastAsia="zh-CN"/>
        </w:rPr>
        <w:t>130131198208080093</w:t>
      </w:r>
      <w:r>
        <w:rPr>
          <w:rFonts w:hint="eastAsia"/>
          <w:sz w:val="15"/>
          <w:szCs w:val="15"/>
        </w:rPr>
        <w:t xml:space="preserve">  </w:t>
      </w:r>
      <w:r>
        <w:rPr>
          <w:rFonts w:hint="eastAsia"/>
          <w:sz w:val="15"/>
          <w:szCs w:val="15"/>
          <w:lang w:val="en-US" w:eastAsia="zh-CN"/>
        </w:rPr>
        <w:t>冀A971AX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