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韩江霞</w:t>
      </w:r>
      <w:r>
        <w:rPr>
          <w:rFonts w:hint="eastAsia"/>
          <w:sz w:val="15"/>
          <w:szCs w:val="15"/>
          <w:highlight w:val="none"/>
        </w:rPr>
        <w:t>，</w:t>
      </w:r>
      <w:r>
        <w:rPr>
          <w:rFonts w:hint="eastAsia"/>
          <w:sz w:val="15"/>
          <w:szCs w:val="15"/>
          <w:highlight w:val="none"/>
          <w:lang w:val="en-US" w:eastAsia="zh-CN"/>
        </w:rPr>
        <w:t>130131198109252718</w:t>
      </w:r>
      <w:r>
        <w:rPr>
          <w:rFonts w:hint="eastAsia"/>
          <w:sz w:val="15"/>
          <w:szCs w:val="15"/>
        </w:rPr>
        <w:t xml:space="preserve">  </w:t>
      </w:r>
      <w:r>
        <w:rPr>
          <w:rFonts w:hint="eastAsia"/>
          <w:sz w:val="15"/>
          <w:szCs w:val="15"/>
          <w:lang w:val="en-US" w:eastAsia="zh-CN"/>
        </w:rPr>
        <w:t>冀A677AQ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