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刘彦宾</w:t>
      </w:r>
      <w:r>
        <w:rPr>
          <w:rFonts w:hint="eastAsia"/>
          <w:sz w:val="15"/>
          <w:szCs w:val="15"/>
          <w:highlight w:val="none"/>
        </w:rPr>
        <w:t>，</w:t>
      </w:r>
      <w:r>
        <w:rPr>
          <w:rFonts w:hint="eastAsia"/>
          <w:sz w:val="15"/>
          <w:szCs w:val="15"/>
          <w:highlight w:val="none"/>
          <w:lang w:val="en-US" w:eastAsia="zh-CN"/>
        </w:rPr>
        <w:t>130125198310017528</w:t>
      </w:r>
      <w:r>
        <w:rPr>
          <w:rFonts w:hint="eastAsia"/>
          <w:sz w:val="15"/>
          <w:szCs w:val="15"/>
        </w:rPr>
        <w:t xml:space="preserve">  </w:t>
      </w:r>
      <w:r>
        <w:rPr>
          <w:rFonts w:hint="eastAsia"/>
          <w:sz w:val="15"/>
          <w:szCs w:val="15"/>
          <w:lang w:val="en-US" w:eastAsia="zh-CN"/>
        </w:rPr>
        <w:t>冀A81542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