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李海明</w:t>
      </w:r>
      <w:r>
        <w:rPr>
          <w:rFonts w:hint="eastAsia"/>
          <w:sz w:val="15"/>
          <w:szCs w:val="15"/>
          <w:highlight w:val="none"/>
        </w:rPr>
        <w:t>，</w:t>
      </w:r>
      <w:r>
        <w:rPr>
          <w:rFonts w:hint="eastAsia"/>
          <w:sz w:val="15"/>
          <w:szCs w:val="15"/>
          <w:highlight w:val="none"/>
          <w:lang w:val="en-US" w:eastAsia="zh-CN"/>
        </w:rPr>
        <w:t>130121198108111013</w:t>
      </w:r>
      <w:r>
        <w:rPr>
          <w:rFonts w:hint="eastAsia"/>
          <w:sz w:val="15"/>
          <w:szCs w:val="15"/>
        </w:rPr>
        <w:t xml:space="preserve">  </w:t>
      </w:r>
      <w:r>
        <w:rPr>
          <w:rFonts w:hint="eastAsia"/>
          <w:sz w:val="15"/>
          <w:szCs w:val="15"/>
          <w:lang w:val="en-US" w:eastAsia="zh-CN"/>
        </w:rPr>
        <w:t>冀A49770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