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王龙</w:t>
      </w:r>
      <w:r>
        <w:rPr>
          <w:rFonts w:hint="eastAsia"/>
          <w:sz w:val="15"/>
          <w:szCs w:val="15"/>
          <w:highlight w:val="none"/>
        </w:rPr>
        <w:t>，</w:t>
      </w:r>
      <w:r>
        <w:rPr>
          <w:rFonts w:hint="eastAsia"/>
          <w:sz w:val="15"/>
          <w:szCs w:val="15"/>
          <w:highlight w:val="none"/>
          <w:lang w:val="en-US" w:eastAsia="zh-CN"/>
        </w:rPr>
        <w:t>130107198211301539</w:t>
      </w:r>
      <w:r>
        <w:rPr>
          <w:rFonts w:hint="eastAsia"/>
          <w:sz w:val="15"/>
          <w:szCs w:val="15"/>
        </w:rPr>
        <w:t xml:space="preserve">  </w:t>
      </w:r>
      <w:r>
        <w:rPr>
          <w:rFonts w:hint="eastAsia"/>
          <w:sz w:val="15"/>
          <w:szCs w:val="15"/>
          <w:lang w:val="en-US" w:eastAsia="zh-CN"/>
        </w:rPr>
        <w:t>冀A8485W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