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李江峰</w:t>
      </w:r>
      <w:r>
        <w:rPr>
          <w:rFonts w:hint="eastAsia"/>
          <w:sz w:val="15"/>
          <w:szCs w:val="15"/>
          <w:highlight w:val="none"/>
        </w:rPr>
        <w:t>，</w:t>
      </w:r>
      <w:r>
        <w:rPr>
          <w:rFonts w:hint="eastAsia"/>
          <w:sz w:val="15"/>
          <w:szCs w:val="15"/>
          <w:highlight w:val="none"/>
          <w:lang w:val="en-US" w:eastAsia="zh-CN"/>
        </w:rPr>
        <w:t>130131199301271518</w:t>
      </w:r>
      <w:r>
        <w:rPr>
          <w:rFonts w:hint="eastAsia"/>
          <w:sz w:val="15"/>
          <w:szCs w:val="15"/>
        </w:rPr>
        <w:t xml:space="preserve">  </w:t>
      </w:r>
      <w:r>
        <w:rPr>
          <w:rFonts w:hint="eastAsia"/>
          <w:sz w:val="15"/>
          <w:szCs w:val="15"/>
          <w:lang w:val="en-US" w:eastAsia="zh-CN"/>
        </w:rPr>
        <w:t>冀A46216D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