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邓广义</w:t>
      </w:r>
      <w:r>
        <w:rPr>
          <w:rFonts w:hint="eastAsia"/>
          <w:sz w:val="15"/>
          <w:szCs w:val="15"/>
          <w:highlight w:val="none"/>
        </w:rPr>
        <w:t>，</w:t>
      </w:r>
      <w:r>
        <w:rPr>
          <w:rFonts w:hint="eastAsia"/>
          <w:sz w:val="15"/>
          <w:szCs w:val="15"/>
          <w:highlight w:val="none"/>
          <w:lang w:val="en-US" w:eastAsia="zh-CN"/>
        </w:rPr>
        <w:t>410521197109290636</w:t>
      </w:r>
      <w:r>
        <w:rPr>
          <w:rFonts w:hint="eastAsia"/>
          <w:sz w:val="15"/>
          <w:szCs w:val="15"/>
        </w:rPr>
        <w:t xml:space="preserve">  </w:t>
      </w:r>
      <w:r>
        <w:rPr>
          <w:rFonts w:hint="eastAsia"/>
          <w:sz w:val="15"/>
          <w:szCs w:val="15"/>
          <w:lang w:val="en-US" w:eastAsia="zh-CN"/>
        </w:rPr>
        <w:t>冀A1773V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