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冀佳佳</w:t>
      </w:r>
      <w:r>
        <w:rPr>
          <w:rFonts w:hint="eastAsia"/>
          <w:sz w:val="15"/>
          <w:szCs w:val="15"/>
          <w:highlight w:val="none"/>
        </w:rPr>
        <w:t>，</w:t>
      </w:r>
      <w:r>
        <w:rPr>
          <w:rFonts w:hint="eastAsia"/>
          <w:sz w:val="15"/>
          <w:szCs w:val="15"/>
          <w:highlight w:val="none"/>
          <w:lang w:val="en-US" w:eastAsia="zh-CN"/>
        </w:rPr>
        <w:t>410426198310255518</w:t>
      </w:r>
      <w:r>
        <w:rPr>
          <w:rFonts w:hint="eastAsia"/>
          <w:sz w:val="15"/>
          <w:szCs w:val="15"/>
        </w:rPr>
        <w:t xml:space="preserve">  </w:t>
      </w:r>
      <w:r>
        <w:rPr>
          <w:rFonts w:hint="eastAsia"/>
          <w:sz w:val="15"/>
          <w:szCs w:val="15"/>
          <w:lang w:val="en-US" w:eastAsia="zh-CN"/>
        </w:rPr>
        <w:t>冀A25325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