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陈明学</w:t>
      </w:r>
      <w:r>
        <w:rPr>
          <w:rFonts w:hint="eastAsia"/>
          <w:sz w:val="15"/>
          <w:szCs w:val="15"/>
          <w:highlight w:val="none"/>
        </w:rPr>
        <w:t>，</w:t>
      </w:r>
      <w:r>
        <w:rPr>
          <w:rFonts w:hint="eastAsia"/>
          <w:sz w:val="15"/>
          <w:szCs w:val="15"/>
          <w:highlight w:val="none"/>
          <w:lang w:val="en-US" w:eastAsia="zh-CN"/>
        </w:rPr>
        <w:t>372501197508159137</w:t>
      </w:r>
      <w:r>
        <w:rPr>
          <w:rFonts w:hint="eastAsia"/>
          <w:sz w:val="15"/>
          <w:szCs w:val="15"/>
        </w:rPr>
        <w:t xml:space="preserve">  </w:t>
      </w:r>
      <w:r>
        <w:rPr>
          <w:rFonts w:hint="eastAsia"/>
          <w:sz w:val="15"/>
          <w:szCs w:val="15"/>
          <w:lang w:val="en-US" w:eastAsia="zh-CN"/>
        </w:rPr>
        <w:t>鲁PBB580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