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毛艳飞</w:t>
      </w:r>
      <w:r>
        <w:rPr>
          <w:rFonts w:hint="eastAsia"/>
          <w:sz w:val="15"/>
          <w:szCs w:val="15"/>
          <w:highlight w:val="none"/>
        </w:rPr>
        <w:t>，</w:t>
      </w:r>
      <w:r>
        <w:rPr>
          <w:rFonts w:hint="eastAsia"/>
          <w:sz w:val="15"/>
          <w:szCs w:val="15"/>
          <w:highlight w:val="none"/>
          <w:lang w:val="en-US" w:eastAsia="zh-CN"/>
        </w:rPr>
        <w:t>13233619811009191X</w:t>
      </w:r>
      <w:r>
        <w:rPr>
          <w:rFonts w:hint="eastAsia"/>
          <w:sz w:val="15"/>
          <w:szCs w:val="15"/>
        </w:rPr>
        <w:t xml:space="preserve">  </w:t>
      </w:r>
      <w:r>
        <w:rPr>
          <w:rFonts w:hint="eastAsia"/>
          <w:sz w:val="15"/>
          <w:szCs w:val="15"/>
          <w:lang w:val="en-US" w:eastAsia="zh-CN"/>
        </w:rPr>
        <w:t>冀A024SD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