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张风朝</w:t>
      </w:r>
      <w:r>
        <w:rPr>
          <w:rFonts w:hint="eastAsia"/>
          <w:sz w:val="15"/>
          <w:szCs w:val="15"/>
          <w:highlight w:val="none"/>
        </w:rPr>
        <w:t>，</w:t>
      </w:r>
      <w:r>
        <w:rPr>
          <w:rFonts w:hint="eastAsia"/>
          <w:sz w:val="15"/>
          <w:szCs w:val="15"/>
          <w:highlight w:val="none"/>
          <w:lang w:val="en-US" w:eastAsia="zh-CN"/>
        </w:rPr>
        <w:t>132336198102141315</w:t>
      </w:r>
      <w:r>
        <w:rPr>
          <w:rFonts w:hint="eastAsia"/>
          <w:sz w:val="15"/>
          <w:szCs w:val="15"/>
        </w:rPr>
        <w:t xml:space="preserve">  </w:t>
      </w:r>
      <w:r>
        <w:rPr>
          <w:rFonts w:hint="eastAsia"/>
          <w:sz w:val="15"/>
          <w:szCs w:val="15"/>
          <w:lang w:val="en-US" w:eastAsia="zh-CN"/>
        </w:rPr>
        <w:t>冀AL4758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