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陈喜军</w:t>
      </w:r>
      <w:r>
        <w:rPr>
          <w:rFonts w:hint="eastAsia"/>
          <w:sz w:val="15"/>
          <w:szCs w:val="15"/>
          <w:highlight w:val="none"/>
        </w:rPr>
        <w:t>，</w:t>
      </w:r>
      <w:r>
        <w:rPr>
          <w:rFonts w:hint="eastAsia"/>
          <w:sz w:val="15"/>
          <w:szCs w:val="15"/>
          <w:highlight w:val="none"/>
          <w:lang w:val="en-US" w:eastAsia="zh-CN"/>
        </w:rPr>
        <w:t>132336198011191413</w:t>
      </w:r>
      <w:r>
        <w:rPr>
          <w:rFonts w:hint="eastAsia"/>
          <w:sz w:val="15"/>
          <w:szCs w:val="15"/>
        </w:rPr>
        <w:t xml:space="preserve">  </w:t>
      </w:r>
      <w:r>
        <w:rPr>
          <w:rFonts w:hint="eastAsia"/>
          <w:sz w:val="15"/>
          <w:szCs w:val="15"/>
          <w:lang w:val="en-US" w:eastAsia="zh-CN"/>
        </w:rPr>
        <w:t>冀GN8530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