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吴利强</w:t>
      </w:r>
      <w:r>
        <w:rPr>
          <w:rFonts w:hint="eastAsia"/>
          <w:sz w:val="15"/>
          <w:szCs w:val="15"/>
          <w:highlight w:val="none"/>
        </w:rPr>
        <w:t>，</w:t>
      </w:r>
      <w:r>
        <w:rPr>
          <w:rFonts w:hint="eastAsia"/>
          <w:sz w:val="15"/>
          <w:szCs w:val="15"/>
          <w:highlight w:val="none"/>
          <w:lang w:val="en-US" w:eastAsia="zh-CN"/>
        </w:rPr>
        <w:t>132336198002120015</w:t>
      </w:r>
      <w:r>
        <w:rPr>
          <w:rFonts w:hint="eastAsia"/>
          <w:sz w:val="15"/>
          <w:szCs w:val="15"/>
        </w:rPr>
        <w:t xml:space="preserve">  </w:t>
      </w:r>
      <w:r>
        <w:rPr>
          <w:rFonts w:hint="eastAsia"/>
          <w:sz w:val="15"/>
          <w:szCs w:val="15"/>
          <w:lang w:val="en-US" w:eastAsia="zh-CN"/>
        </w:rPr>
        <w:t>冀A1701Z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