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白保刚</w:t>
      </w:r>
      <w:r>
        <w:rPr>
          <w:rFonts w:hint="eastAsia"/>
          <w:sz w:val="15"/>
          <w:szCs w:val="15"/>
          <w:highlight w:val="none"/>
        </w:rPr>
        <w:t>，</w:t>
      </w:r>
      <w:r>
        <w:rPr>
          <w:rFonts w:hint="eastAsia"/>
          <w:sz w:val="15"/>
          <w:szCs w:val="15"/>
          <w:highlight w:val="none"/>
          <w:lang w:val="en-US" w:eastAsia="zh-CN"/>
        </w:rPr>
        <w:t>132336197701011710</w:t>
      </w:r>
      <w:r>
        <w:rPr>
          <w:rFonts w:hint="eastAsia"/>
          <w:sz w:val="15"/>
          <w:szCs w:val="15"/>
        </w:rPr>
        <w:t xml:space="preserve">  </w:t>
      </w:r>
      <w:r>
        <w:rPr>
          <w:rFonts w:hint="eastAsia"/>
          <w:sz w:val="15"/>
          <w:szCs w:val="15"/>
          <w:lang w:val="en-US" w:eastAsia="zh-CN"/>
        </w:rPr>
        <w:t>冀A4F468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