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郑利</w:t>
      </w:r>
      <w:r>
        <w:rPr>
          <w:rFonts w:hint="eastAsia"/>
          <w:sz w:val="15"/>
          <w:szCs w:val="15"/>
          <w:highlight w:val="none"/>
        </w:rPr>
        <w:t>，</w:t>
      </w:r>
      <w:r>
        <w:rPr>
          <w:rFonts w:hint="eastAsia"/>
          <w:sz w:val="15"/>
          <w:szCs w:val="15"/>
          <w:highlight w:val="none"/>
          <w:lang w:val="en-US" w:eastAsia="zh-CN"/>
        </w:rPr>
        <w:t>132336197406180810</w:t>
      </w:r>
      <w:r>
        <w:rPr>
          <w:rFonts w:hint="eastAsia"/>
          <w:sz w:val="15"/>
          <w:szCs w:val="15"/>
        </w:rPr>
        <w:t xml:space="preserve">  </w:t>
      </w:r>
      <w:r>
        <w:rPr>
          <w:rFonts w:hint="eastAsia"/>
          <w:sz w:val="15"/>
          <w:szCs w:val="15"/>
          <w:lang w:val="en-US" w:eastAsia="zh-CN"/>
        </w:rPr>
        <w:t>冀ASP885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