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尚学志</w:t>
      </w:r>
      <w:r>
        <w:rPr>
          <w:rFonts w:hint="eastAsia"/>
          <w:sz w:val="15"/>
          <w:szCs w:val="15"/>
          <w:highlight w:val="none"/>
        </w:rPr>
        <w:t>，</w:t>
      </w:r>
      <w:r>
        <w:rPr>
          <w:rFonts w:hint="eastAsia"/>
          <w:sz w:val="15"/>
          <w:szCs w:val="15"/>
          <w:highlight w:val="none"/>
          <w:lang w:val="en-US" w:eastAsia="zh-CN"/>
        </w:rPr>
        <w:t>132336197112120337</w:t>
      </w:r>
      <w:r>
        <w:rPr>
          <w:rFonts w:hint="eastAsia"/>
          <w:sz w:val="15"/>
          <w:szCs w:val="15"/>
        </w:rPr>
        <w:t xml:space="preserve">  </w:t>
      </w:r>
      <w:r>
        <w:rPr>
          <w:rFonts w:hint="eastAsia"/>
          <w:sz w:val="15"/>
          <w:szCs w:val="15"/>
          <w:lang w:val="en-US" w:eastAsia="zh-CN"/>
        </w:rPr>
        <w:t>冀A40439D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