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康静</w:t>
      </w:r>
      <w:r>
        <w:rPr>
          <w:rFonts w:hint="eastAsia"/>
          <w:sz w:val="15"/>
          <w:szCs w:val="15"/>
          <w:highlight w:val="none"/>
        </w:rPr>
        <w:t>，</w:t>
      </w:r>
      <w:r>
        <w:rPr>
          <w:rFonts w:hint="eastAsia"/>
          <w:sz w:val="15"/>
          <w:szCs w:val="15"/>
          <w:highlight w:val="none"/>
          <w:lang w:val="en-US" w:eastAsia="zh-CN"/>
        </w:rPr>
        <w:t>132335198109021184</w:t>
      </w:r>
      <w:r>
        <w:rPr>
          <w:rFonts w:hint="eastAsia"/>
          <w:sz w:val="15"/>
          <w:szCs w:val="15"/>
        </w:rPr>
        <w:t xml:space="preserve">  </w:t>
      </w:r>
      <w:r>
        <w:rPr>
          <w:rFonts w:hint="eastAsia"/>
          <w:sz w:val="15"/>
          <w:szCs w:val="15"/>
          <w:lang w:val="en-US" w:eastAsia="zh-CN"/>
        </w:rPr>
        <w:t>沪A90681D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