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w:t>
      </w:r>
      <w:r>
        <w:rPr>
          <w:rFonts w:hint="eastAsia"/>
          <w:sz w:val="15"/>
          <w:szCs w:val="15"/>
          <w:highlight w:val="none"/>
        </w:rPr>
        <w:t>，</w:t>
      </w:r>
      <w:r>
        <w:rPr>
          <w:rFonts w:hint="eastAsia"/>
          <w:sz w:val="15"/>
          <w:szCs w:val="15"/>
          <w:highlight w:val="none"/>
          <w:lang w:val="en-US" w:eastAsia="zh-CN"/>
        </w:rPr>
        <w:t>13233519810113087X</w:t>
      </w:r>
      <w:r>
        <w:rPr>
          <w:rFonts w:hint="eastAsia"/>
          <w:sz w:val="15"/>
          <w:szCs w:val="15"/>
        </w:rPr>
        <w:t xml:space="preserve">  </w:t>
      </w:r>
      <w:r>
        <w:rPr>
          <w:rFonts w:hint="eastAsia"/>
          <w:sz w:val="15"/>
          <w:szCs w:val="15"/>
          <w:lang w:val="en-US" w:eastAsia="zh-CN"/>
        </w:rPr>
        <w:t>冀AKW137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