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于法军</w:t>
      </w:r>
      <w:r>
        <w:rPr>
          <w:rFonts w:hint="eastAsia"/>
          <w:sz w:val="15"/>
          <w:szCs w:val="15"/>
          <w:highlight w:val="none"/>
        </w:rPr>
        <w:t>，</w:t>
      </w:r>
      <w:r>
        <w:rPr>
          <w:rFonts w:hint="eastAsia"/>
          <w:sz w:val="15"/>
          <w:szCs w:val="15"/>
          <w:highlight w:val="none"/>
          <w:lang w:val="en-US" w:eastAsia="zh-CN"/>
        </w:rPr>
        <w:t>132335198007170015</w:t>
      </w:r>
      <w:r>
        <w:rPr>
          <w:rFonts w:hint="eastAsia"/>
          <w:sz w:val="15"/>
          <w:szCs w:val="15"/>
        </w:rPr>
        <w:t xml:space="preserve">  </w:t>
      </w:r>
      <w:r>
        <w:rPr>
          <w:rFonts w:hint="eastAsia"/>
          <w:sz w:val="15"/>
          <w:szCs w:val="15"/>
          <w:lang w:val="en-US" w:eastAsia="zh-CN"/>
        </w:rPr>
        <w:t>沪A90967D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